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F7" w:rsidRDefault="007B6DF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B6DF7" w:rsidRDefault="007B6DF7">
      <w:pPr>
        <w:pStyle w:val="ConsPlusNormal"/>
        <w:jc w:val="both"/>
        <w:outlineLvl w:val="0"/>
      </w:pPr>
    </w:p>
    <w:p w:rsidR="007B6DF7" w:rsidRDefault="007B6DF7">
      <w:pPr>
        <w:pStyle w:val="ConsPlusNormal"/>
        <w:outlineLvl w:val="0"/>
      </w:pPr>
      <w:r>
        <w:t>Зарегистрировано в Минюсте России 29 октября 2020 г. N 60648</w:t>
      </w:r>
    </w:p>
    <w:p w:rsidR="007B6DF7" w:rsidRDefault="007B6D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6DF7" w:rsidRDefault="007B6DF7">
      <w:pPr>
        <w:pStyle w:val="ConsPlusNormal"/>
        <w:jc w:val="both"/>
      </w:pPr>
    </w:p>
    <w:p w:rsidR="007B6DF7" w:rsidRDefault="007B6DF7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7B6DF7" w:rsidRDefault="007B6DF7">
      <w:pPr>
        <w:pStyle w:val="ConsPlusTitle"/>
        <w:jc w:val="center"/>
      </w:pPr>
    </w:p>
    <w:p w:rsidR="007B6DF7" w:rsidRDefault="007B6DF7">
      <w:pPr>
        <w:pStyle w:val="ConsPlusTitle"/>
        <w:jc w:val="center"/>
      </w:pPr>
      <w:r>
        <w:t>ПРИКАЗ</w:t>
      </w:r>
    </w:p>
    <w:p w:rsidR="007B6DF7" w:rsidRDefault="007B6DF7">
      <w:pPr>
        <w:pStyle w:val="ConsPlusTitle"/>
        <w:jc w:val="center"/>
      </w:pPr>
      <w:r>
        <w:t>от 29 июля 2020 г. N 426</w:t>
      </w:r>
    </w:p>
    <w:p w:rsidR="007B6DF7" w:rsidRDefault="007B6DF7">
      <w:pPr>
        <w:pStyle w:val="ConsPlusTitle"/>
        <w:jc w:val="center"/>
      </w:pPr>
    </w:p>
    <w:p w:rsidR="007B6DF7" w:rsidRDefault="007B6DF7">
      <w:pPr>
        <w:pStyle w:val="ConsPlusTitle"/>
        <w:jc w:val="center"/>
      </w:pPr>
      <w:r>
        <w:t>ОБ УТВЕРЖДЕНИИ ПРАВИЛ</w:t>
      </w:r>
    </w:p>
    <w:p w:rsidR="007B6DF7" w:rsidRDefault="007B6DF7">
      <w:pPr>
        <w:pStyle w:val="ConsPlusTitle"/>
        <w:jc w:val="center"/>
      </w:pPr>
      <w:r>
        <w:t>ХРАНЕНИЯ ЛЕКАРСТВЕННЫХ СРЕДСТВ ДЛЯ ВЕТЕРИНАРНОГО ПРИМЕНЕНИЯ</w:t>
      </w:r>
    </w:p>
    <w:p w:rsidR="007B6DF7" w:rsidRDefault="007B6DF7">
      <w:pPr>
        <w:pStyle w:val="ConsPlusNormal"/>
        <w:jc w:val="both"/>
      </w:pPr>
    </w:p>
    <w:p w:rsidR="007B6DF7" w:rsidRDefault="007B6DF7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статьи 58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</w:t>
      </w:r>
      <w:proofErr w:type="gramStart"/>
      <w:r>
        <w:t xml:space="preserve">2014, N 43, ст. 5797) и в соответствии с </w:t>
      </w:r>
      <w:hyperlink r:id="rId7" w:history="1">
        <w:r>
          <w:rPr>
            <w:color w:val="0000FF"/>
          </w:rPr>
          <w:t>подпунктом 5.2.25(43) пункта 5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2011, N 18, ст. 2649), приказываю:</w:t>
      </w:r>
      <w:proofErr w:type="gramEnd"/>
    </w:p>
    <w:p w:rsidR="007B6DF7" w:rsidRDefault="007B6DF7">
      <w:pPr>
        <w:pStyle w:val="ConsPlusNormal"/>
        <w:spacing w:before="28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Правила</w:t>
        </w:r>
      </w:hyperlink>
      <w:r>
        <w:t xml:space="preserve"> хранения лекарственных сре</w:t>
      </w:r>
      <w:proofErr w:type="gramStart"/>
      <w:r>
        <w:t>дств дл</w:t>
      </w:r>
      <w:proofErr w:type="gramEnd"/>
      <w:r>
        <w:t>я ветеринарного применения.</w:t>
      </w:r>
    </w:p>
    <w:p w:rsidR="007B6DF7" w:rsidRDefault="007B6DF7">
      <w:pPr>
        <w:pStyle w:val="ConsPlusNormal"/>
        <w:spacing w:before="280"/>
        <w:ind w:firstLine="540"/>
        <w:jc w:val="both"/>
      </w:pPr>
      <w:r>
        <w:t>2. Настоящий приказ вступает в силу с 1 января 2021 г.</w:t>
      </w:r>
    </w:p>
    <w:p w:rsidR="007B6DF7" w:rsidRDefault="007B6DF7">
      <w:pPr>
        <w:pStyle w:val="ConsPlusNormal"/>
        <w:jc w:val="both"/>
      </w:pPr>
    </w:p>
    <w:p w:rsidR="007B6DF7" w:rsidRDefault="007B6DF7">
      <w:pPr>
        <w:pStyle w:val="ConsPlusNormal"/>
        <w:jc w:val="right"/>
      </w:pPr>
      <w:r>
        <w:t>Министр</w:t>
      </w:r>
    </w:p>
    <w:p w:rsidR="007B6DF7" w:rsidRDefault="007B6DF7">
      <w:pPr>
        <w:pStyle w:val="ConsPlusNormal"/>
        <w:jc w:val="right"/>
      </w:pPr>
      <w:r>
        <w:t>Д.Н.ПАТРУШЕВ</w:t>
      </w:r>
    </w:p>
    <w:p w:rsidR="007B6DF7" w:rsidRDefault="007B6DF7">
      <w:pPr>
        <w:pStyle w:val="ConsPlusNormal"/>
        <w:jc w:val="both"/>
      </w:pPr>
    </w:p>
    <w:p w:rsidR="007B6DF7" w:rsidRDefault="007B6DF7">
      <w:pPr>
        <w:pStyle w:val="ConsPlusNormal"/>
        <w:jc w:val="both"/>
      </w:pPr>
    </w:p>
    <w:p w:rsidR="007B6DF7" w:rsidRDefault="007B6DF7">
      <w:pPr>
        <w:pStyle w:val="ConsPlusNormal"/>
        <w:jc w:val="both"/>
      </w:pPr>
    </w:p>
    <w:p w:rsidR="007B6DF7" w:rsidRDefault="007B6DF7">
      <w:pPr>
        <w:pStyle w:val="ConsPlusNormal"/>
        <w:jc w:val="both"/>
      </w:pPr>
    </w:p>
    <w:p w:rsidR="007B6DF7" w:rsidRDefault="007B6DF7">
      <w:pPr>
        <w:pStyle w:val="ConsPlusNormal"/>
        <w:jc w:val="both"/>
      </w:pPr>
    </w:p>
    <w:p w:rsidR="007B6DF7" w:rsidRDefault="007B6DF7">
      <w:pPr>
        <w:pStyle w:val="ConsPlusNormal"/>
        <w:jc w:val="right"/>
        <w:outlineLvl w:val="0"/>
      </w:pPr>
      <w:r>
        <w:t>Утверждены</w:t>
      </w:r>
    </w:p>
    <w:p w:rsidR="007B6DF7" w:rsidRDefault="007B6DF7">
      <w:pPr>
        <w:pStyle w:val="ConsPlusNormal"/>
        <w:jc w:val="right"/>
      </w:pPr>
      <w:r>
        <w:t>приказом Минсельхоза России</w:t>
      </w:r>
    </w:p>
    <w:p w:rsidR="007B6DF7" w:rsidRDefault="007B6DF7">
      <w:pPr>
        <w:pStyle w:val="ConsPlusNormal"/>
        <w:jc w:val="right"/>
      </w:pPr>
      <w:r>
        <w:t>от 29.07.2020 N 426</w:t>
      </w:r>
    </w:p>
    <w:p w:rsidR="007B6DF7" w:rsidRDefault="007B6DF7">
      <w:pPr>
        <w:pStyle w:val="ConsPlusNormal"/>
        <w:jc w:val="both"/>
      </w:pPr>
    </w:p>
    <w:p w:rsidR="007B6DF7" w:rsidRDefault="007B6DF7">
      <w:pPr>
        <w:pStyle w:val="ConsPlusTitle"/>
        <w:jc w:val="center"/>
      </w:pPr>
      <w:bookmarkStart w:id="0" w:name="P27"/>
      <w:bookmarkEnd w:id="0"/>
      <w:r>
        <w:t>ПРАВИЛА</w:t>
      </w:r>
    </w:p>
    <w:p w:rsidR="007B6DF7" w:rsidRDefault="007B6DF7">
      <w:pPr>
        <w:pStyle w:val="ConsPlusTitle"/>
        <w:jc w:val="center"/>
      </w:pPr>
      <w:r>
        <w:t>ХРАНЕНИЯ ЛЕКАРСТВЕННЫХ СРЕДСТВ ДЛЯ ВЕТЕРИНАРНОГО ПРИМЕНЕНИЯ</w:t>
      </w:r>
    </w:p>
    <w:p w:rsidR="007B6DF7" w:rsidRDefault="007B6DF7">
      <w:pPr>
        <w:pStyle w:val="ConsPlusNormal"/>
        <w:jc w:val="both"/>
      </w:pPr>
    </w:p>
    <w:p w:rsidR="007B6DF7" w:rsidRDefault="007B6DF7">
      <w:pPr>
        <w:pStyle w:val="ConsPlusTitle"/>
        <w:jc w:val="center"/>
        <w:outlineLvl w:val="1"/>
      </w:pPr>
      <w:r>
        <w:t>I. Общие положения</w:t>
      </w:r>
    </w:p>
    <w:p w:rsidR="007B6DF7" w:rsidRDefault="007B6DF7">
      <w:pPr>
        <w:pStyle w:val="ConsPlusNormal"/>
        <w:jc w:val="both"/>
      </w:pPr>
    </w:p>
    <w:p w:rsidR="007B6DF7" w:rsidRDefault="007B6DF7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требования к помещениям для хранения лекарственных средств для ветеринарного применения (далее - лекарственные средства), определяют условия хранения лекарственных средств и распространяются на производителей лекарственных средств, организации оптовой торговли лекарственными средствами, ветеринарные аптечные организации, индивидуальных предпринимателей, ветеринарные организации и иные организации, осуществляющие обращение лекарственных средств (далее - организации, индивидуальные предприниматели соответственно).</w:t>
      </w:r>
      <w:proofErr w:type="gramEnd"/>
    </w:p>
    <w:p w:rsidR="007B6DF7" w:rsidRDefault="007B6DF7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>Устройство, состав, размеры площадей, эксплуатация и оборудование помещений для хранения лекарственных средств должны обеспечивать их сохранность с учетом физико-химических, фармакологических и токсикологических свойств, а также требований, предусмотренных инструкциями по применению лекарственных препаратов для ветеринарного применения (далее - Инструкция, лекарственные препараты соответственно) или указанных на упаковках лекарственных средств (далее - Упаковка), и (или) общих фармакопейных статей, и (или) фармакопейных статей.</w:t>
      </w:r>
      <w:proofErr w:type="gramEnd"/>
    </w:p>
    <w:p w:rsidR="007B6DF7" w:rsidRDefault="007B6DF7">
      <w:pPr>
        <w:pStyle w:val="ConsPlusNormal"/>
        <w:spacing w:before="280"/>
        <w:ind w:firstLine="540"/>
        <w:jc w:val="both"/>
      </w:pPr>
      <w:r>
        <w:t xml:space="preserve">3. Лекарственные средства, в Инструкциях либо на Упаковках которых содержится информация о наличии у них свойств, требующих особых условий хранения, должны храниться с соблюдением требований, установленных </w:t>
      </w:r>
      <w:hyperlink w:anchor="P74" w:history="1">
        <w:r>
          <w:rPr>
            <w:color w:val="0000FF"/>
          </w:rPr>
          <w:t>главой III</w:t>
        </w:r>
      </w:hyperlink>
      <w:r>
        <w:t xml:space="preserve"> настоящих Правил.</w:t>
      </w:r>
    </w:p>
    <w:p w:rsidR="007B6DF7" w:rsidRDefault="007B6DF7">
      <w:pPr>
        <w:pStyle w:val="ConsPlusNormal"/>
        <w:jc w:val="both"/>
      </w:pPr>
    </w:p>
    <w:p w:rsidR="007B6DF7" w:rsidRDefault="007B6DF7">
      <w:pPr>
        <w:pStyle w:val="ConsPlusTitle"/>
        <w:jc w:val="center"/>
        <w:outlineLvl w:val="1"/>
      </w:pPr>
      <w:r>
        <w:t xml:space="preserve">II. Требования к помещениям для хранения </w:t>
      </w:r>
      <w:proofErr w:type="gramStart"/>
      <w:r>
        <w:t>лекарственных</w:t>
      </w:r>
      <w:proofErr w:type="gramEnd"/>
    </w:p>
    <w:p w:rsidR="007B6DF7" w:rsidRDefault="007B6DF7">
      <w:pPr>
        <w:pStyle w:val="ConsPlusTitle"/>
        <w:jc w:val="center"/>
      </w:pPr>
      <w:r>
        <w:t>средств и организации хранения лекарственных средств</w:t>
      </w:r>
    </w:p>
    <w:p w:rsidR="007B6DF7" w:rsidRDefault="007B6DF7">
      <w:pPr>
        <w:pStyle w:val="ConsPlusNormal"/>
        <w:jc w:val="both"/>
      </w:pPr>
    </w:p>
    <w:p w:rsidR="007B6DF7" w:rsidRDefault="007B6DF7">
      <w:pPr>
        <w:pStyle w:val="ConsPlusNormal"/>
        <w:ind w:firstLine="540"/>
        <w:jc w:val="both"/>
      </w:pPr>
      <w:r>
        <w:t>4. Внутренние поверхности ограждающих конструкций (стены, перегородки, потолки), полы в помещениях для хранения лекарственных средств должны допускать возможность проведения влажной уборки. Полы в помещениях для хранения лекарственных средств не должны иметь деревянных неокрашенных поверхностей, а также отверстий и дефектов, нарушающих целостность покрытия.</w:t>
      </w:r>
    </w:p>
    <w:p w:rsidR="007B6DF7" w:rsidRDefault="007B6DF7">
      <w:pPr>
        <w:pStyle w:val="ConsPlusNormal"/>
        <w:spacing w:before="280"/>
        <w:ind w:firstLine="540"/>
        <w:jc w:val="both"/>
      </w:pPr>
      <w:r>
        <w:t>5. Помещения для хранения лекарственных средств должны быть оснащены оборудованием, позволяющим обеспечить температурные и влажностные режимы хранения лекарственных сре</w:t>
      </w:r>
      <w:proofErr w:type="gramStart"/>
      <w:r>
        <w:t>дств в с</w:t>
      </w:r>
      <w:proofErr w:type="gramEnd"/>
      <w:r>
        <w:t>оответствии с условиями хранения, предусмотренными Инструкциями или указанными на Упаковках.</w:t>
      </w:r>
    </w:p>
    <w:p w:rsidR="007B6DF7" w:rsidRDefault="007B6DF7">
      <w:pPr>
        <w:pStyle w:val="ConsPlusNormal"/>
        <w:spacing w:before="280"/>
        <w:ind w:firstLine="540"/>
        <w:jc w:val="both"/>
      </w:pPr>
      <w:r>
        <w:t xml:space="preserve">6. Помещения для хранения лекарственных средств должны иметь системы электроснабжения, отопления, быть оборудованы системой принудительной вентиляции или системой естественной вентиляции. Не допускается обогревание помещений газовыми приборами с открытым </w:t>
      </w:r>
      <w:r>
        <w:lastRenderedPageBreak/>
        <w:t xml:space="preserve">пламенем или электронагревательными приборами с </w:t>
      </w:r>
      <w:proofErr w:type="gramStart"/>
      <w:r>
        <w:t>открытой</w:t>
      </w:r>
      <w:proofErr w:type="gramEnd"/>
      <w:r>
        <w:t xml:space="preserve"> электроспиралью.</w:t>
      </w:r>
    </w:p>
    <w:p w:rsidR="007B6DF7" w:rsidRDefault="007B6DF7">
      <w:pPr>
        <w:pStyle w:val="ConsPlusNormal"/>
        <w:spacing w:before="280"/>
        <w:ind w:firstLine="540"/>
        <w:jc w:val="both"/>
      </w:pPr>
      <w:r>
        <w:t>7. Помещения для хранения лекарственных средств должны быть оборудованы стеллажами, шкафами, поддонами (подтоварниками). Не допускается хранение лекарственных средств на полу без поддона.</w:t>
      </w:r>
    </w:p>
    <w:p w:rsidR="007B6DF7" w:rsidRDefault="007B6DF7">
      <w:pPr>
        <w:pStyle w:val="ConsPlusNormal"/>
        <w:spacing w:before="280"/>
        <w:ind w:firstLine="540"/>
        <w:jc w:val="both"/>
      </w:pPr>
      <w:r>
        <w:t>Поддоны должны располагаться на полу в один ряд или на стеллажах в несколько ярусов в зависимости от высоты стеллажа. Не допускается размещение поддонов с лекарственными средствами в несколько рядов по высоте без использования стеллажей.</w:t>
      </w:r>
    </w:p>
    <w:p w:rsidR="007B6DF7" w:rsidRDefault="007B6DF7">
      <w:pPr>
        <w:pStyle w:val="ConsPlusNormal"/>
        <w:spacing w:before="280"/>
        <w:ind w:firstLine="540"/>
        <w:jc w:val="both"/>
      </w:pPr>
      <w:r>
        <w:t>8. В помещениях для хранения лекарственных сре</w:t>
      </w:r>
      <w:proofErr w:type="gramStart"/>
      <w:r>
        <w:t>дств ст</w:t>
      </w:r>
      <w:proofErr w:type="gramEnd"/>
      <w:r>
        <w:t>еллажи (шкафы), поддоны (подтоварники) должны быть установлены таким образом, чтобы обеспечить свободный доступ к лекарственным средствам персонала и при необходимости погрузочных устройств, а также доступность стеллажей (шкафов), стен, пола для уборки. Стеллажи для хранения лекарственных средств в помещениях площадью более 10 м</w:t>
      </w:r>
      <w:proofErr w:type="gramStart"/>
      <w:r>
        <w:rPr>
          <w:vertAlign w:val="superscript"/>
        </w:rPr>
        <w:t>2</w:t>
      </w:r>
      <w:proofErr w:type="gramEnd"/>
      <w:r>
        <w:t xml:space="preserve"> должны быть установлены следующим образом:</w:t>
      </w:r>
    </w:p>
    <w:p w:rsidR="007B6DF7" w:rsidRDefault="007B6DF7">
      <w:pPr>
        <w:pStyle w:val="ConsPlusNormal"/>
        <w:spacing w:before="280"/>
        <w:ind w:firstLine="540"/>
        <w:jc w:val="both"/>
      </w:pPr>
      <w:r>
        <w:t>расстояние до наружных стен - не менее 0,6 м;</w:t>
      </w:r>
    </w:p>
    <w:p w:rsidR="007B6DF7" w:rsidRDefault="007B6DF7">
      <w:pPr>
        <w:pStyle w:val="ConsPlusNormal"/>
        <w:spacing w:before="280"/>
        <w:ind w:firstLine="540"/>
        <w:jc w:val="both"/>
      </w:pPr>
      <w:r>
        <w:t>расстояние до потолка - не менее 0,5 м;</w:t>
      </w:r>
    </w:p>
    <w:p w:rsidR="007B6DF7" w:rsidRDefault="007B6DF7">
      <w:pPr>
        <w:pStyle w:val="ConsPlusNormal"/>
        <w:spacing w:before="280"/>
        <w:ind w:firstLine="540"/>
        <w:jc w:val="both"/>
      </w:pPr>
      <w:r>
        <w:t>расстояние от пола - не менее 0,25 м;</w:t>
      </w:r>
    </w:p>
    <w:p w:rsidR="007B6DF7" w:rsidRDefault="007B6DF7">
      <w:pPr>
        <w:pStyle w:val="ConsPlusNormal"/>
        <w:spacing w:before="280"/>
        <w:ind w:firstLine="540"/>
        <w:jc w:val="both"/>
      </w:pPr>
      <w:r>
        <w:t>проходы между стеллажами - не менее 0,75 м.</w:t>
      </w:r>
    </w:p>
    <w:p w:rsidR="007B6DF7" w:rsidRDefault="007B6DF7">
      <w:pPr>
        <w:pStyle w:val="ConsPlusNormal"/>
        <w:spacing w:before="280"/>
        <w:ind w:firstLine="540"/>
        <w:jc w:val="both"/>
      </w:pPr>
      <w:r>
        <w:t>9. При хранении лекарственных средств должны быть обеспечены их систематизация и учет.</w:t>
      </w:r>
    </w:p>
    <w:p w:rsidR="007B6DF7" w:rsidRDefault="007B6DF7">
      <w:pPr>
        <w:pStyle w:val="ConsPlusNormal"/>
        <w:spacing w:before="280"/>
        <w:ind w:firstLine="540"/>
        <w:jc w:val="both"/>
      </w:pPr>
      <w:r>
        <w:t>В этих целях предназначенные для хранения лекарственных сре</w:t>
      </w:r>
      <w:proofErr w:type="gramStart"/>
      <w:r>
        <w:t>дств ст</w:t>
      </w:r>
      <w:proofErr w:type="gramEnd"/>
      <w:r>
        <w:t>еллажи, шкафы и полки в них должны быть пронумерованы и промаркированы, поддоны (подтоварники) - промаркированы или пронумерованы.</w:t>
      </w:r>
    </w:p>
    <w:p w:rsidR="007B6DF7" w:rsidRDefault="007B6DF7">
      <w:pPr>
        <w:pStyle w:val="ConsPlusNormal"/>
        <w:spacing w:before="280"/>
        <w:ind w:firstLine="540"/>
        <w:jc w:val="both"/>
      </w:pPr>
      <w:r>
        <w:t>При размещении лекарственных средств и маркировке (нумерации) предназначенных для этих целей стеллажей, шкафов, полок, а также поддонов (подтоварников) допускается использование информационных технологий.</w:t>
      </w:r>
    </w:p>
    <w:p w:rsidR="007B6DF7" w:rsidRDefault="007B6DF7">
      <w:pPr>
        <w:pStyle w:val="ConsPlusNormal"/>
        <w:spacing w:before="280"/>
        <w:ind w:firstLine="540"/>
        <w:jc w:val="both"/>
      </w:pPr>
      <w:r>
        <w:t>10. Маркировка стеллажей, шкафов и полок в них, поддонов (подтоварников), предназначенных для хранения лекарственных средств, осуществляется организацией и индивидуальным предпринимателем самостоятельно.</w:t>
      </w:r>
    </w:p>
    <w:p w:rsidR="007B6DF7" w:rsidRDefault="007B6DF7">
      <w:pPr>
        <w:pStyle w:val="ConsPlusNormal"/>
        <w:spacing w:before="280"/>
        <w:ind w:firstLine="540"/>
        <w:jc w:val="both"/>
      </w:pPr>
      <w:r>
        <w:lastRenderedPageBreak/>
        <w:t>11. При хранении лекарственных средств должны использоваться следующие способы систематизации:</w:t>
      </w:r>
    </w:p>
    <w:p w:rsidR="007B6DF7" w:rsidRDefault="007B6DF7">
      <w:pPr>
        <w:pStyle w:val="ConsPlusNormal"/>
        <w:spacing w:before="280"/>
        <w:ind w:firstLine="540"/>
        <w:jc w:val="both"/>
      </w:pPr>
      <w:r>
        <w:t>по фармакологическим группам;</w:t>
      </w:r>
    </w:p>
    <w:p w:rsidR="007B6DF7" w:rsidRDefault="007B6DF7">
      <w:pPr>
        <w:pStyle w:val="ConsPlusNormal"/>
        <w:spacing w:before="280"/>
        <w:ind w:firstLine="540"/>
        <w:jc w:val="both"/>
      </w:pPr>
      <w:r>
        <w:t>по способу применения, указанному в Инструкциях или на Упаковках;</w:t>
      </w:r>
    </w:p>
    <w:p w:rsidR="007B6DF7" w:rsidRDefault="007B6DF7">
      <w:pPr>
        <w:pStyle w:val="ConsPlusNormal"/>
        <w:spacing w:before="280"/>
        <w:ind w:firstLine="540"/>
        <w:jc w:val="both"/>
      </w:pPr>
      <w:r>
        <w:t>в алфавитном порядке;</w:t>
      </w:r>
    </w:p>
    <w:p w:rsidR="007B6DF7" w:rsidRDefault="007B6DF7">
      <w:pPr>
        <w:pStyle w:val="ConsPlusNormal"/>
        <w:spacing w:before="280"/>
        <w:ind w:firstLine="540"/>
        <w:jc w:val="both"/>
      </w:pPr>
      <w:r>
        <w:t>по адресам назначения (для целей направления конкретному юридическому или физическому лицу, индивидуальному предпринимателю).</w:t>
      </w:r>
    </w:p>
    <w:p w:rsidR="007B6DF7" w:rsidRDefault="007B6DF7">
      <w:pPr>
        <w:pStyle w:val="ConsPlusNormal"/>
        <w:spacing w:before="280"/>
        <w:ind w:firstLine="540"/>
        <w:jc w:val="both"/>
      </w:pPr>
      <w:r>
        <w:t>12. На стеллажах и шкафах должны быть прикреплены стеллажные карты с указанием наименований лекарственных средств, номеров серий, сроков годности, количества единиц хранения или с указанием фармакологических групп - при осуществлении хранения лекарственных сре</w:t>
      </w:r>
      <w:proofErr w:type="gramStart"/>
      <w:r>
        <w:t>дств в в</w:t>
      </w:r>
      <w:proofErr w:type="gramEnd"/>
      <w:r>
        <w:t>етеринарных организациях и организациях, осуществляющих разведение, выращивание и содержание животных.</w:t>
      </w:r>
    </w:p>
    <w:p w:rsidR="007B6DF7" w:rsidRDefault="007B6DF7">
      <w:pPr>
        <w:pStyle w:val="ConsPlusNormal"/>
        <w:spacing w:before="280"/>
        <w:ind w:firstLine="540"/>
        <w:jc w:val="both"/>
      </w:pPr>
      <w:r>
        <w:t>В случае использования информационных технологий в целях маркировки (нумерации) предназначенных для хранения лекарственных сре</w:t>
      </w:r>
      <w:proofErr w:type="gramStart"/>
      <w:r>
        <w:t>дств ст</w:t>
      </w:r>
      <w:proofErr w:type="gramEnd"/>
      <w:r>
        <w:t>еллажей, шкафов, полок, а также поддонов (подтоварников) допускается отсутствие стеллажных карт.</w:t>
      </w:r>
    </w:p>
    <w:p w:rsidR="007B6DF7" w:rsidRDefault="007B6DF7">
      <w:pPr>
        <w:pStyle w:val="ConsPlusNormal"/>
        <w:spacing w:before="280"/>
        <w:ind w:firstLine="540"/>
        <w:jc w:val="both"/>
      </w:pPr>
      <w:r>
        <w:t>13. Учет лекарственных средств, срок годности которых составляет менее одной трети от всего срока годности, должен осуществляться с использованием информационных технологий либо журналов учета на бумажном носителе с указанием наименования, серии, срока годности лекарственного средства.</w:t>
      </w:r>
    </w:p>
    <w:p w:rsidR="007B6DF7" w:rsidRDefault="007B6DF7">
      <w:pPr>
        <w:pStyle w:val="ConsPlusNormal"/>
        <w:spacing w:before="280"/>
        <w:ind w:firstLine="540"/>
        <w:jc w:val="both"/>
      </w:pPr>
      <w:r>
        <w:t>14. Лекарственные препараты во вторичной (потребительской) упаковке, фармацевтические субстанции в первичной упаковке должны храниться в шкафах, на стеллажах или полках этикеткой (маркировкой) наружу.</w:t>
      </w:r>
    </w:p>
    <w:p w:rsidR="007B6DF7" w:rsidRDefault="007B6DF7">
      <w:pPr>
        <w:pStyle w:val="ConsPlusNormal"/>
        <w:spacing w:before="280"/>
        <w:ind w:firstLine="540"/>
        <w:jc w:val="both"/>
      </w:pPr>
      <w:r>
        <w:t>15. Помещения для хранения лекарственных средств, требующих защиты от воздействия повышенной температуры, должны быть оснащены холодильным оборудованием, укомплектованным приборами для измерения температуры.</w:t>
      </w:r>
    </w:p>
    <w:p w:rsidR="007B6DF7" w:rsidRDefault="007B6DF7">
      <w:pPr>
        <w:pStyle w:val="ConsPlusNormal"/>
        <w:spacing w:before="280"/>
        <w:ind w:firstLine="540"/>
        <w:jc w:val="both"/>
      </w:pPr>
      <w:r>
        <w:t>16. Помещения для хранения лекарственных средств должны быть оснащены приборами для измерения температуры и влажности воздуха в местах, доступных для считывания указанных показателей. В помещениях для хранения лекарственных средств площадью более 10 м</w:t>
      </w:r>
      <w:proofErr w:type="gramStart"/>
      <w:r>
        <w:rPr>
          <w:vertAlign w:val="superscript"/>
        </w:rPr>
        <w:t>2</w:t>
      </w:r>
      <w:proofErr w:type="gramEnd"/>
      <w:r>
        <w:t xml:space="preserve"> измерительные части этих приборов должны размещаться на расстоянии не менее 3 м от дверей, окон и отопительных приборов.</w:t>
      </w:r>
    </w:p>
    <w:p w:rsidR="007B6DF7" w:rsidRDefault="007B6DF7">
      <w:pPr>
        <w:pStyle w:val="ConsPlusNormal"/>
        <w:spacing w:before="280"/>
        <w:ind w:firstLine="540"/>
        <w:jc w:val="both"/>
      </w:pPr>
      <w:r>
        <w:lastRenderedPageBreak/>
        <w:t xml:space="preserve">17. </w:t>
      </w:r>
      <w:proofErr w:type="gramStart"/>
      <w:r>
        <w:t>В целях обеспечения соблюдения условий хранения, предусмотренных Инструкциями или указанных на Упаковках, показания приборов для измерения температуры и влажности воздуха должны регистрироваться два раза в день в журнале (карте) регистрации параметров воздуха (далее - журнал (карта) на бумажном носителе или в электронном виде, который ведется лицом, ответственным за хранение лекарственных средств.</w:t>
      </w:r>
      <w:proofErr w:type="gramEnd"/>
      <w:r>
        <w:t xml:space="preserve"> Журнал (карта) заводится на один календарный год. Журнал (карта) хранится в течение четырех лет, следующих за годом ведения журнала (карты). Приборы для измерения температуры и влажности воздуха должны быть сертифицированы, калиброваны и подвергаться поверке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26 июня 2008 г. N 102-ФЗ "Об обеспечении единства измерений" (Собрание законодательства Российской Федерации, 2008, N 26, ст. 3021; 2019, N 52, ст. 7814).</w:t>
      </w:r>
    </w:p>
    <w:p w:rsidR="007B6DF7" w:rsidRDefault="007B6DF7">
      <w:pPr>
        <w:pStyle w:val="ConsPlusNormal"/>
        <w:spacing w:before="280"/>
        <w:ind w:firstLine="540"/>
        <w:jc w:val="both"/>
      </w:pPr>
      <w:r>
        <w:t>18. Степень загрузки холодильного оборудования и холодильных комнат лекарственными средствами не должна оказывать влияния на температурный режим хранения лекарственных средств.</w:t>
      </w:r>
    </w:p>
    <w:p w:rsidR="007B6DF7" w:rsidRDefault="007B6DF7">
      <w:pPr>
        <w:pStyle w:val="ConsPlusNormal"/>
        <w:spacing w:before="280"/>
        <w:ind w:firstLine="540"/>
        <w:jc w:val="both"/>
      </w:pPr>
      <w:r>
        <w:t xml:space="preserve">19. </w:t>
      </w:r>
      <w:proofErr w:type="gramStart"/>
      <w:r>
        <w:t xml:space="preserve">При выявлении лекарственных средств с истекшим сроком годности, в поврежденной упаковке, недоброкачественных, фальсифицированных или контрафактных лекарственных средств они должны храниться отдельно от других групп лекарственных средств в специально выделенной зоне или в отдельном контейнере не более шести месяцев с целью уничтожения таких лекарственных средств в порядке, определенном в соответствии со </w:t>
      </w:r>
      <w:hyperlink r:id="rId9" w:history="1">
        <w:r>
          <w:rPr>
            <w:color w:val="0000FF"/>
          </w:rPr>
          <w:t>статьей 59</w:t>
        </w:r>
      </w:hyperlink>
      <w:r>
        <w:t xml:space="preserve"> Федерального закона от 12 апреля 2010 г. N</w:t>
      </w:r>
      <w:proofErr w:type="gramEnd"/>
      <w:r>
        <w:t xml:space="preserve"> 61-ФЗ "Об обращении лекарственных средств" (Собрание законодательства Российской Федерации, 2010, N 16, ст. 1815; 2014, N 52, ст. 7540).</w:t>
      </w:r>
    </w:p>
    <w:p w:rsidR="007B6DF7" w:rsidRDefault="007B6DF7">
      <w:pPr>
        <w:pStyle w:val="ConsPlusNormal"/>
        <w:spacing w:before="280"/>
        <w:ind w:firstLine="540"/>
        <w:jc w:val="both"/>
      </w:pPr>
      <w:r>
        <w:t>20. Влажная уборка пола в помещениях для хранения лекарственных средств должна проводиться ежедневно в дни работы организации и индивидуального предпринимателя.</w:t>
      </w:r>
    </w:p>
    <w:p w:rsidR="007B6DF7" w:rsidRDefault="007B6DF7">
      <w:pPr>
        <w:pStyle w:val="ConsPlusNormal"/>
        <w:spacing w:before="280"/>
        <w:ind w:firstLine="540"/>
        <w:jc w:val="both"/>
      </w:pPr>
      <w:r>
        <w:t>Влажная уборка полов, шкафов, стеллажей в помещениях для хранения лекарственных средств с использованием дезинфицирующих средств должна проводиться не реже одного раза в неделю.</w:t>
      </w:r>
    </w:p>
    <w:p w:rsidR="007B6DF7" w:rsidRDefault="007B6DF7">
      <w:pPr>
        <w:pStyle w:val="ConsPlusNormal"/>
        <w:spacing w:before="280"/>
        <w:ind w:firstLine="540"/>
        <w:jc w:val="both"/>
      </w:pPr>
      <w:proofErr w:type="gramStart"/>
      <w:r>
        <w:t>Влажная уборка помещений и оборудования для хранения лекарственных средств, включающая мытье стен, перегородок, потолков, полов, плинтусов, подоконников, окон, дверей, шкафов, стеллажей, поддонов, погрузочных устройств, с использованием дезинфицирующих средств должна проводиться не реже одного раза в год.</w:t>
      </w:r>
      <w:proofErr w:type="gramEnd"/>
    </w:p>
    <w:p w:rsidR="007B6DF7" w:rsidRDefault="007B6DF7">
      <w:pPr>
        <w:pStyle w:val="ConsPlusNormal"/>
        <w:spacing w:before="280"/>
        <w:ind w:firstLine="540"/>
        <w:jc w:val="both"/>
      </w:pPr>
      <w:r>
        <w:t xml:space="preserve">21. В помещениях для хранения лекарственных средств допускается хранение веществ, оборудования и материалов, предназначенных для оказания ветеринарной (медицинской) помощи, ухода за животными, уборки помещений, а также дезинфекции, дезинсекции и дератизации. Указанные </w:t>
      </w:r>
      <w:r>
        <w:lastRenderedPageBreak/>
        <w:t>вещества, оборудование и материалы должны храниться отдельно от мест хранения лекарственных средств.</w:t>
      </w:r>
    </w:p>
    <w:p w:rsidR="007B6DF7" w:rsidRDefault="007B6DF7">
      <w:pPr>
        <w:pStyle w:val="ConsPlusNormal"/>
        <w:spacing w:before="280"/>
        <w:ind w:firstLine="540"/>
        <w:jc w:val="both"/>
      </w:pPr>
      <w:r>
        <w:t>22. Доступ посторонних лиц к местам хранения лекарственных средств не допускается.</w:t>
      </w:r>
    </w:p>
    <w:p w:rsidR="007B6DF7" w:rsidRDefault="007B6DF7">
      <w:pPr>
        <w:pStyle w:val="ConsPlusNormal"/>
        <w:spacing w:before="280"/>
        <w:ind w:firstLine="540"/>
        <w:jc w:val="both"/>
      </w:pPr>
      <w:r>
        <w:t>23. Хранение лекарственных средств, в Инструкциях или на Упаковках которых содержится информация о наличии у них пожаровзрывоопасных или пожароопасных свойств, должно осуществляться в соответствии с требованиями, установленными законодательством Российской Федерации о пожарной безопасности.</w:t>
      </w:r>
    </w:p>
    <w:p w:rsidR="007B6DF7" w:rsidRDefault="007B6DF7">
      <w:pPr>
        <w:pStyle w:val="ConsPlusNormal"/>
        <w:jc w:val="both"/>
      </w:pPr>
    </w:p>
    <w:p w:rsidR="007B6DF7" w:rsidRDefault="007B6DF7">
      <w:pPr>
        <w:pStyle w:val="ConsPlusTitle"/>
        <w:jc w:val="center"/>
        <w:outlineLvl w:val="1"/>
      </w:pPr>
      <w:bookmarkStart w:id="1" w:name="P74"/>
      <w:bookmarkEnd w:id="1"/>
      <w:r>
        <w:t>III. Особенности хранения лекарственных средств</w:t>
      </w:r>
    </w:p>
    <w:p w:rsidR="007B6DF7" w:rsidRDefault="007B6DF7">
      <w:pPr>
        <w:pStyle w:val="ConsPlusTitle"/>
        <w:jc w:val="center"/>
      </w:pPr>
      <w:r>
        <w:t>в зависимости от физических и физико-химических свойств,</w:t>
      </w:r>
    </w:p>
    <w:p w:rsidR="007B6DF7" w:rsidRDefault="007B6DF7">
      <w:pPr>
        <w:pStyle w:val="ConsPlusTitle"/>
        <w:jc w:val="center"/>
      </w:pPr>
      <w:r>
        <w:t>воздействия на них различных факторов внешней среды</w:t>
      </w:r>
    </w:p>
    <w:p w:rsidR="007B6DF7" w:rsidRDefault="007B6DF7">
      <w:pPr>
        <w:pStyle w:val="ConsPlusNormal"/>
        <w:jc w:val="both"/>
      </w:pPr>
    </w:p>
    <w:p w:rsidR="007B6DF7" w:rsidRDefault="007B6DF7">
      <w:pPr>
        <w:pStyle w:val="ConsPlusNormal"/>
        <w:ind w:firstLine="540"/>
        <w:jc w:val="both"/>
      </w:pPr>
      <w:r>
        <w:t>24. Лекарственные средства, в Инструкциях или на Упаковках которых содержится информация о необходимости их защиты от действия света (далее также - фармацевтические субстанции, требующие защиты от действия света, лекарственные препараты, требующие защиты от действия света), должны храниться в помещениях или специально оборудованных местах, обеспечивающих защиту от естественного и искусственного освещения.</w:t>
      </w:r>
    </w:p>
    <w:p w:rsidR="007B6DF7" w:rsidRDefault="007B6DF7">
      <w:pPr>
        <w:pStyle w:val="ConsPlusNormal"/>
        <w:spacing w:before="280"/>
        <w:ind w:firstLine="540"/>
        <w:jc w:val="both"/>
      </w:pPr>
      <w:r>
        <w:t>25. Фармацевтические субстанции, требующие защиты от действия света, следует хранить в таре из светозащитных материалов.</w:t>
      </w:r>
    </w:p>
    <w:p w:rsidR="007B6DF7" w:rsidRDefault="007B6DF7">
      <w:pPr>
        <w:pStyle w:val="ConsPlusNormal"/>
        <w:spacing w:before="280"/>
        <w:ind w:firstLine="540"/>
        <w:jc w:val="both"/>
      </w:pPr>
      <w:r>
        <w:t>26. Лекарственные препараты, требующие защиты от действия света, упакованные в первичную и вторичную (потребительскую) упаковку, следует хранить в шкафах или на стеллажах при условии принятия мер для предотвращения попадания на указанные лекарственные препараты прямого солнечного света или иного направленного света.</w:t>
      </w:r>
    </w:p>
    <w:p w:rsidR="007B6DF7" w:rsidRDefault="007B6DF7">
      <w:pPr>
        <w:pStyle w:val="ConsPlusNormal"/>
        <w:spacing w:before="280"/>
        <w:ind w:firstLine="540"/>
        <w:jc w:val="both"/>
      </w:pPr>
      <w:r>
        <w:t>27. Лекарственные средства, в Инструкциях или на Упаковках которых содержится информация о необходимости их защиты от воздействия влаги, должны храниться в соответствии с условиями хранения, предусмотренными Инструкциями или указанными на Упаковках, в герметичной таре из материалов, непроницаемых для паров воды или в стеклянной таре с герметичной крышкой.</w:t>
      </w:r>
    </w:p>
    <w:p w:rsidR="007B6DF7" w:rsidRDefault="007B6DF7">
      <w:pPr>
        <w:pStyle w:val="ConsPlusNormal"/>
        <w:spacing w:before="280"/>
        <w:ind w:firstLine="540"/>
        <w:jc w:val="both"/>
      </w:pPr>
      <w:r>
        <w:t>28. Лекарственные средства, в Инструкциях или на Упаковках которых содержится информация о необходимости их защиты от улетучивания и высыхания, следует хранить в герметичной таре из непроницаемых для улетучивающихся веществ материалов в соответствии с условиями хранения, предусмотренными Инструкциями или указанными на Упаковках.</w:t>
      </w:r>
    </w:p>
    <w:p w:rsidR="007B6DF7" w:rsidRDefault="007B6DF7">
      <w:pPr>
        <w:pStyle w:val="ConsPlusNormal"/>
        <w:spacing w:before="280"/>
        <w:ind w:firstLine="540"/>
        <w:jc w:val="both"/>
      </w:pPr>
      <w:r>
        <w:lastRenderedPageBreak/>
        <w:t>29. Фармацевтические субстанции, в Инструкциях или на Упаковках которых содержится информация о наличии в их составе кристаллизационной воды, следует хранить в помещении с температурой воздуха не выше +15 °C при относительной влажности воздуха 50 - 65%.</w:t>
      </w:r>
    </w:p>
    <w:p w:rsidR="007B6DF7" w:rsidRDefault="007B6DF7">
      <w:pPr>
        <w:pStyle w:val="ConsPlusNormal"/>
        <w:spacing w:before="280"/>
        <w:ind w:firstLine="540"/>
        <w:jc w:val="both"/>
      </w:pPr>
      <w:r>
        <w:t>30. Биологические лекарственные препараты одного и того же наименования должны храниться по сериям с учетом срока их годности. Не допускается хранение биологических лекарственных препаратов на внутренней стороне двери холодильника.</w:t>
      </w:r>
    </w:p>
    <w:p w:rsidR="007B6DF7" w:rsidRDefault="007B6DF7">
      <w:pPr>
        <w:pStyle w:val="ConsPlusNormal"/>
        <w:spacing w:before="280"/>
        <w:ind w:firstLine="540"/>
        <w:jc w:val="both"/>
      </w:pPr>
      <w:r>
        <w:t>31. Лекарственные препараты, в Инструкциях или на Упаковках которых содержится информация о том, что они предназначены для лечения инфекционных и паразитарных болезней животных, вызываемых патогенными микроорганизмами и условно-патогенными микроорганизмами, следует хранить в упаковке при комнатной температуре (20 +/- 2 °C), если иное не предусмотрено Инструкциями или не указано на Упаковках.</w:t>
      </w:r>
    </w:p>
    <w:p w:rsidR="007B6DF7" w:rsidRDefault="007B6DF7">
      <w:pPr>
        <w:pStyle w:val="ConsPlusNormal"/>
        <w:spacing w:before="280"/>
        <w:ind w:firstLine="540"/>
        <w:jc w:val="both"/>
      </w:pPr>
      <w:r>
        <w:t>32. Лекарственные препараты, полученные из крови, плазмы крови, из органов, тканей организма человека или животного, следует хранить в защищенном от света, сухом месте при температуре от 0 до +15 °C, если иное не предусмотрено Инструкциями или не указано на Упаковках.</w:t>
      </w:r>
    </w:p>
    <w:p w:rsidR="007B6DF7" w:rsidRDefault="007B6DF7">
      <w:pPr>
        <w:pStyle w:val="ConsPlusNormal"/>
        <w:spacing w:before="280"/>
        <w:ind w:firstLine="540"/>
        <w:jc w:val="both"/>
      </w:pPr>
      <w:r>
        <w:t>33. Лекарственные препараты, в Инструкциях или на Упаковках которых содержится информация о наличии в их составе масел или жиров, должны храниться при температуре от +4 до +12 °C, если иное не предусмотрено Инструкциями или не указано на Упаковках.</w:t>
      </w:r>
    </w:p>
    <w:p w:rsidR="007B6DF7" w:rsidRDefault="007B6DF7">
      <w:pPr>
        <w:pStyle w:val="ConsPlusNormal"/>
        <w:spacing w:before="280"/>
        <w:ind w:firstLine="540"/>
        <w:jc w:val="both"/>
      </w:pPr>
      <w:r>
        <w:t>34. Хранение лекарственных средств, в Инструкциях или на Упаковках которых содержится информация о необходимости их защиты от воздействия газов, находящихся в окружающей среде, осуществляется в герметически закрытой таре из материалов, непроницаемых для газов.</w:t>
      </w:r>
    </w:p>
    <w:p w:rsidR="007B6DF7" w:rsidRDefault="007B6DF7">
      <w:pPr>
        <w:pStyle w:val="ConsPlusNormal"/>
        <w:spacing w:before="280"/>
        <w:ind w:firstLine="540"/>
        <w:jc w:val="both"/>
      </w:pPr>
      <w:r>
        <w:t>35. Лекарственные средства с запахом, который может повлиять на возможность применения у различных видов животных, следует хранить в герметически закрытой таре раздельно по наименованиям.</w:t>
      </w:r>
    </w:p>
    <w:p w:rsidR="007B6DF7" w:rsidRDefault="007B6DF7">
      <w:pPr>
        <w:pStyle w:val="ConsPlusNormal"/>
        <w:spacing w:before="280"/>
        <w:ind w:firstLine="540"/>
        <w:jc w:val="both"/>
      </w:pPr>
      <w:r>
        <w:t>36. Лекарственное растительное сырье (предварительно высушенное) должно храниться в сухом, хорошо вентилируемом помещении в герметически закрытой таре.</w:t>
      </w:r>
    </w:p>
    <w:p w:rsidR="007B6DF7" w:rsidRDefault="007B6DF7">
      <w:pPr>
        <w:pStyle w:val="ConsPlusNormal"/>
        <w:spacing w:before="280"/>
        <w:ind w:firstLine="540"/>
        <w:jc w:val="both"/>
      </w:pPr>
      <w:r>
        <w:t>37. Лекарственное растительное сырье, содержащее эфирные масла, необходимо хранить в отдельной герметически закрытой таре.</w:t>
      </w:r>
    </w:p>
    <w:p w:rsidR="007B6DF7" w:rsidRDefault="007B6DF7">
      <w:pPr>
        <w:pStyle w:val="ConsPlusNormal"/>
        <w:spacing w:before="280"/>
        <w:ind w:firstLine="540"/>
        <w:jc w:val="both"/>
      </w:pPr>
      <w:r>
        <w:t xml:space="preserve">38. Лекарственное растительное сырье должно подвергаться периодическому контролю в форме оценки по органолептическим показателям. </w:t>
      </w:r>
      <w:proofErr w:type="gramStart"/>
      <w:r>
        <w:t xml:space="preserve">Трава, корни, корневища, семена, плоды, утратившие </w:t>
      </w:r>
      <w:r>
        <w:lastRenderedPageBreak/>
        <w:t>свойственную им окраску, запах, а также пораженные плесенью, вредителями, не допускаются к дальнейшему хранению и использованию.</w:t>
      </w:r>
      <w:proofErr w:type="gramEnd"/>
    </w:p>
    <w:p w:rsidR="007B6DF7" w:rsidRDefault="007B6DF7">
      <w:pPr>
        <w:pStyle w:val="ConsPlusNormal"/>
        <w:spacing w:before="280"/>
        <w:ind w:firstLine="540"/>
        <w:jc w:val="both"/>
      </w:pPr>
      <w:r>
        <w:t>39. В целях предупреждения испарения жидкостей из сосудов лекарственные средства, в Инструкциях или на Упаковках которых содержится информация о том, что они обладают легковоспламеняющимися или легкогорючими свойствами (далее - легковоспламеняющиеся и легкогорючие лекарственные средства), должны храниться в герметически закрытой стеклянной или металлической таре.</w:t>
      </w:r>
    </w:p>
    <w:p w:rsidR="007B6DF7" w:rsidRDefault="007B6DF7">
      <w:pPr>
        <w:pStyle w:val="ConsPlusNormal"/>
        <w:spacing w:before="280"/>
        <w:ind w:firstLine="540"/>
        <w:jc w:val="both"/>
      </w:pPr>
      <w:r>
        <w:t>40. Емкости объемом более 5 л с легковоспламеняющимися и легкогорючими лекарственными средствами должны храниться на полках стеллажей в один ряд по высоте. Запрещается их хранение в несколько рядов по высоте с использованием различных прокладочных материалов.</w:t>
      </w:r>
    </w:p>
    <w:p w:rsidR="007B6DF7" w:rsidRDefault="007B6DF7">
      <w:pPr>
        <w:pStyle w:val="ConsPlusNormal"/>
        <w:spacing w:before="280"/>
        <w:ind w:firstLine="540"/>
        <w:jc w:val="both"/>
      </w:pPr>
      <w:r>
        <w:t>41. Хранение бутылей с легковоспламеняющимися и легкогорючими лекарственными средствами должно осуществляться в таре, предохраняющей от ударов или опрокидывания, в один ряд.</w:t>
      </w:r>
    </w:p>
    <w:p w:rsidR="007B6DF7" w:rsidRDefault="007B6DF7">
      <w:pPr>
        <w:pStyle w:val="ConsPlusNormal"/>
        <w:spacing w:before="280"/>
        <w:ind w:firstLine="540"/>
        <w:jc w:val="both"/>
      </w:pPr>
      <w:r>
        <w:t>42. Не допускается хранение легковоспламеняющихся и легкогорючих лекарственных сре</w:t>
      </w:r>
      <w:proofErr w:type="gramStart"/>
      <w:r>
        <w:t>дств в п</w:t>
      </w:r>
      <w:proofErr w:type="gramEnd"/>
      <w:r>
        <w:t>олностью заполненной таре. Заполнение тары не должно превышать 90% объема. Спирты в объеме более 5 л должны храниться в металлических емкостях, заполняемых не более чем на 75% объема.</w:t>
      </w:r>
    </w:p>
    <w:p w:rsidR="007B6DF7" w:rsidRDefault="007B6DF7">
      <w:pPr>
        <w:pStyle w:val="ConsPlusNormal"/>
        <w:spacing w:before="280"/>
        <w:ind w:firstLine="540"/>
        <w:jc w:val="both"/>
      </w:pPr>
      <w:r>
        <w:t>43. Не допускается совместное хранение легковоспламеняющихся лекарственных средств с минеральными кислотами, сжатыми и сжиженными газами, легкогорючими веществами, щелочами, а также с неорганическими солями, которые при контакте с органическими веществами образуют взрывоопасные смеси.</w:t>
      </w:r>
    </w:p>
    <w:p w:rsidR="007B6DF7" w:rsidRDefault="007B6DF7">
      <w:pPr>
        <w:pStyle w:val="ConsPlusNormal"/>
        <w:spacing w:before="280"/>
        <w:ind w:firstLine="540"/>
        <w:jc w:val="both"/>
      </w:pPr>
      <w:r>
        <w:t>44. Эфир для наркоза следует хранить в помещении с температурой воздуха не выше +15 °C в защищенном от света месте на расстоянии не менее 1 м от отопительных приборов.</w:t>
      </w:r>
    </w:p>
    <w:p w:rsidR="007B6DF7" w:rsidRDefault="007B6DF7">
      <w:pPr>
        <w:pStyle w:val="ConsPlusNormal"/>
        <w:spacing w:before="280"/>
        <w:ind w:firstLine="540"/>
        <w:jc w:val="both"/>
      </w:pPr>
      <w:r>
        <w:t>45. Не допускаются встряхивание, удары, трение емкостей с диэтиловым эфиром.</w:t>
      </w:r>
    </w:p>
    <w:p w:rsidR="007B6DF7" w:rsidRDefault="007B6DF7">
      <w:pPr>
        <w:pStyle w:val="ConsPlusNormal"/>
        <w:spacing w:before="280"/>
        <w:ind w:firstLine="540"/>
        <w:jc w:val="both"/>
      </w:pPr>
      <w:r>
        <w:t>46. Калия перманганат должен храниться в герметически закрытой таре отдельно от других веществ.</w:t>
      </w:r>
    </w:p>
    <w:p w:rsidR="007B6DF7" w:rsidRDefault="007B6DF7">
      <w:pPr>
        <w:pStyle w:val="ConsPlusNormal"/>
        <w:spacing w:before="280"/>
        <w:ind w:firstLine="540"/>
        <w:jc w:val="both"/>
      </w:pPr>
      <w:r>
        <w:t xml:space="preserve">47. Раствор нитроглицерина должен храниться в герметически закрытой таре, в помещении с температурой воздуха не выше +15 °C, в защищенном от света месте, с соблюдением мер предосторожности, указанных в Инструкциях или на Упаковках. Передвигать тару с нитроглицерином и отвешивать препарат следует в условиях, исключающих пролив и испарение </w:t>
      </w:r>
      <w:r>
        <w:lastRenderedPageBreak/>
        <w:t>нитроглицерина, а также попадание его на кожу.</w:t>
      </w:r>
    </w:p>
    <w:p w:rsidR="007B6DF7" w:rsidRDefault="007B6DF7">
      <w:pPr>
        <w:pStyle w:val="ConsPlusNormal"/>
        <w:spacing w:before="280"/>
        <w:ind w:firstLine="540"/>
        <w:jc w:val="both"/>
      </w:pPr>
      <w:r>
        <w:t xml:space="preserve">48. </w:t>
      </w:r>
      <w:proofErr w:type="gramStart"/>
      <w:r>
        <w:t xml:space="preserve">Наркотические и психотропные лекарственные средства должны храниться отдельно от других групп лекарственных средств в организациях в изолированных помещениях, специально оборудованных инженерными и техническими средствами охраны, и в местах временного хранения с соблюдением требований, установленных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хранения наркотических средств, психотропных веществ и их прекурсоров, утвержденными постановлением Правительства Российской Федерации от 31 декабря 2009 г. N 1148 (Собрание законодательства Российской Федерации, 2010</w:t>
      </w:r>
      <w:proofErr w:type="gramEnd"/>
      <w:r>
        <w:t xml:space="preserve">, </w:t>
      </w:r>
      <w:proofErr w:type="gramStart"/>
      <w:r>
        <w:t>N 4, ст. 394; 2017, N 47, ст. 6989).</w:t>
      </w:r>
      <w:proofErr w:type="gramEnd"/>
    </w:p>
    <w:p w:rsidR="007B6DF7" w:rsidRDefault="007B6DF7">
      <w:pPr>
        <w:pStyle w:val="ConsPlusNormal"/>
        <w:spacing w:before="280"/>
        <w:ind w:firstLine="540"/>
        <w:jc w:val="both"/>
      </w:pPr>
      <w:r>
        <w:t xml:space="preserve">49. </w:t>
      </w:r>
      <w:proofErr w:type="gramStart"/>
      <w:r>
        <w:t xml:space="preserve">Сильнодействующие и ядовитые лекарственные средства, содержащие сильнодействующие и ядовитые вещества, включенные в </w:t>
      </w:r>
      <w:hyperlink r:id="rId11" w:history="1">
        <w:r>
          <w:rPr>
            <w:color w:val="0000FF"/>
          </w:rPr>
          <w:t>список</w:t>
        </w:r>
      </w:hyperlink>
      <w:r>
        <w:t xml:space="preserve"> сильнодействующих веществ для целей </w:t>
      </w:r>
      <w:hyperlink r:id="rId12" w:history="1">
        <w:r>
          <w:rPr>
            <w:color w:val="0000FF"/>
          </w:rPr>
          <w:t>статьи 234</w:t>
        </w:r>
      </w:hyperlink>
      <w:r>
        <w:t xml:space="preserve"> и других статей Уголовного </w:t>
      </w:r>
      <w:hyperlink r:id="rId13" w:history="1">
        <w:r>
          <w:rPr>
            <w:color w:val="0000FF"/>
          </w:rPr>
          <w:t>кодекса</w:t>
        </w:r>
      </w:hyperlink>
      <w:r>
        <w:t xml:space="preserve"> Российской Федерации и в </w:t>
      </w:r>
      <w:hyperlink r:id="rId14" w:history="1">
        <w:r>
          <w:rPr>
            <w:color w:val="0000FF"/>
          </w:rPr>
          <w:t>список</w:t>
        </w:r>
      </w:hyperlink>
      <w:r>
        <w:t xml:space="preserve"> ядовитых веществ для целей </w:t>
      </w:r>
      <w:hyperlink r:id="rId15" w:history="1">
        <w:r>
          <w:rPr>
            <w:color w:val="0000FF"/>
          </w:rPr>
          <w:t>статьи 234</w:t>
        </w:r>
      </w:hyperlink>
      <w:r>
        <w:t xml:space="preserve"> и других статей Уголовного </w:t>
      </w:r>
      <w:hyperlink r:id="rId16" w:history="1">
        <w:r>
          <w:rPr>
            <w:color w:val="0000FF"/>
          </w:rPr>
          <w:t>кодекса</w:t>
        </w:r>
      </w:hyperlink>
      <w:r>
        <w:t xml:space="preserve"> Российской Федерации, утвержденные постановлением Правительства Российской Федерации от 29 декабря 2007 г. N 964 (Собрание законодательства Российской Федерации, 2008, N</w:t>
      </w:r>
      <w:proofErr w:type="gramEnd"/>
      <w:r>
        <w:t xml:space="preserve"> </w:t>
      </w:r>
      <w:proofErr w:type="gramStart"/>
      <w:r>
        <w:t xml:space="preserve">2, ст. 89; 2019, N 46, ст. 6495), должны храниться в соответствии с </w:t>
      </w:r>
      <w:hyperlink w:anchor="P104" w:history="1">
        <w:r>
          <w:rPr>
            <w:color w:val="0000FF"/>
          </w:rPr>
          <w:t>пунктами 50</w:t>
        </w:r>
      </w:hyperlink>
      <w:r>
        <w:t xml:space="preserve"> - </w:t>
      </w:r>
      <w:hyperlink w:anchor="P115" w:history="1">
        <w:r>
          <w:rPr>
            <w:color w:val="0000FF"/>
          </w:rPr>
          <w:t>58</w:t>
        </w:r>
      </w:hyperlink>
      <w:r>
        <w:t xml:space="preserve"> настоящих Правил.</w:t>
      </w:r>
      <w:proofErr w:type="gramEnd"/>
    </w:p>
    <w:p w:rsidR="007B6DF7" w:rsidRDefault="007B6DF7">
      <w:pPr>
        <w:pStyle w:val="ConsPlusNormal"/>
        <w:spacing w:before="280"/>
        <w:ind w:firstLine="540"/>
        <w:jc w:val="both"/>
      </w:pPr>
      <w:bookmarkStart w:id="2" w:name="P104"/>
      <w:bookmarkEnd w:id="2"/>
      <w:r>
        <w:t>50. Хранение сильнодействующих и ядовитых лекарственных средств должно осуществляться в специально оборудованных помещениях, оснащенных инженерными и техническими средствами охраны объектов и помещений, предназначенных для хранения сильнодействующих и ядовитых лекарственных средств.</w:t>
      </w:r>
    </w:p>
    <w:p w:rsidR="007B6DF7" w:rsidRDefault="007B6DF7">
      <w:pPr>
        <w:pStyle w:val="ConsPlusNormal"/>
        <w:spacing w:before="280"/>
        <w:ind w:firstLine="540"/>
        <w:jc w:val="both"/>
      </w:pPr>
      <w:r>
        <w:t>51. При хранении сильнодействующих и ядовитых лекарственных средств должны соблюдаться меры предосторожности, указанные в Инструкциях или на Упаковках.</w:t>
      </w:r>
    </w:p>
    <w:p w:rsidR="007B6DF7" w:rsidRDefault="007B6DF7">
      <w:pPr>
        <w:pStyle w:val="ConsPlusNormal"/>
        <w:spacing w:before="280"/>
        <w:ind w:firstLine="540"/>
        <w:jc w:val="both"/>
      </w:pPr>
      <w:r>
        <w:t>52. Ядовитые лекарственные средства должны храниться в отдельном помещении.</w:t>
      </w:r>
    </w:p>
    <w:p w:rsidR="007B6DF7" w:rsidRDefault="007B6DF7">
      <w:pPr>
        <w:pStyle w:val="ConsPlusNormal"/>
        <w:spacing w:before="280"/>
        <w:ind w:firstLine="540"/>
        <w:jc w:val="both"/>
      </w:pPr>
      <w:r>
        <w:t>53. Сильнодействующие лекарственные средства допускается хранить в одном помещении с другими (не сильнодействующими) лекарственными средствами, в отдельных шкафах, оснащенных запорными устройствами.</w:t>
      </w:r>
    </w:p>
    <w:p w:rsidR="007B6DF7" w:rsidRDefault="007B6DF7">
      <w:pPr>
        <w:pStyle w:val="ConsPlusNormal"/>
        <w:spacing w:before="280"/>
        <w:ind w:firstLine="540"/>
        <w:jc w:val="both"/>
      </w:pPr>
      <w:r>
        <w:t xml:space="preserve">54. Сильнодействующие и ядовитые лекарственные средства должны храниться в специально выделенных для этой цели сейфах, металлических или обитых железом деревянных шкафах или ящиках под замком. На внешней стороне двери сейфа (шкафа, ящика) для хранения сильнодействующих и ядовитых лекарственных средств должны быть надписи "Сильнодействующие лекарственные средства" или "Ядовитые лекарственные средства" соответственно. На внутренней стороне двери </w:t>
      </w:r>
      <w:r>
        <w:lastRenderedPageBreak/>
        <w:t>сейфа (шкафа, ящика) должен быть прикреплен список хранящихся в нем сильнодействующих и ядовитых лекарственных средств.</w:t>
      </w:r>
    </w:p>
    <w:p w:rsidR="007B6DF7" w:rsidRDefault="007B6DF7">
      <w:pPr>
        <w:pStyle w:val="ConsPlusNormal"/>
        <w:spacing w:before="280"/>
        <w:ind w:firstLine="540"/>
        <w:jc w:val="both"/>
      </w:pPr>
      <w:r>
        <w:t>55. Сильнодействующие и ядовитые лекарственные средства в крупногабаритной таре должны храниться в помещениях, оборудованных приточно-вытяжной вентиляцией, первичными средствами пожаротушения &lt;1&gt; и сигнализации.</w:t>
      </w:r>
    </w:p>
    <w:p w:rsidR="007B6DF7" w:rsidRDefault="007B6DF7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7B6DF7" w:rsidRDefault="007B6DF7">
      <w:pPr>
        <w:pStyle w:val="ConsPlusNormal"/>
        <w:spacing w:before="28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Статья 43</w:t>
        </w:r>
      </w:hyperlink>
      <w:r>
        <w:t xml:space="preserve"> Федерального закона от 22 июля 2008 г. N 123-ФЗ "Технический регламент о требованиях пожарной безопасности" (Собрание законодательства Российской Федерации, 2008, N 30, ст. 3579; 2017, N 31, ст. 4793).</w:t>
      </w:r>
    </w:p>
    <w:p w:rsidR="007B6DF7" w:rsidRDefault="007B6DF7">
      <w:pPr>
        <w:pStyle w:val="ConsPlusNormal"/>
        <w:jc w:val="both"/>
      </w:pPr>
    </w:p>
    <w:p w:rsidR="007B6DF7" w:rsidRDefault="007B6DF7">
      <w:pPr>
        <w:pStyle w:val="ConsPlusNormal"/>
        <w:ind w:firstLine="540"/>
        <w:jc w:val="both"/>
      </w:pPr>
      <w:r>
        <w:t>56. Сильнодействующие и ядовитые лекарственные средства должны храниться раздельно по группам на отдельных полках шкафов (сейфов) в зависимости от способа их применения.</w:t>
      </w:r>
    </w:p>
    <w:p w:rsidR="007B6DF7" w:rsidRDefault="007B6DF7">
      <w:pPr>
        <w:pStyle w:val="ConsPlusNormal"/>
        <w:spacing w:before="280"/>
        <w:ind w:firstLine="540"/>
        <w:jc w:val="both"/>
      </w:pPr>
      <w:r>
        <w:t>57. Шкафы, сейфы, ящики и помещения, в которых хранятся ядовитые лекарственные средства, после окончания рабочего дня должны запираться на замок, а также опечатываться или пломбироваться лицом, ответственным за хранение, учет и отпуск сильнодействующих и ядовитых лекарственных средств.</w:t>
      </w:r>
    </w:p>
    <w:p w:rsidR="007B6DF7" w:rsidRDefault="007B6DF7">
      <w:pPr>
        <w:pStyle w:val="ConsPlusNormal"/>
        <w:spacing w:before="280"/>
        <w:ind w:firstLine="540"/>
        <w:jc w:val="both"/>
      </w:pPr>
      <w:bookmarkStart w:id="3" w:name="P115"/>
      <w:bookmarkEnd w:id="3"/>
      <w:r>
        <w:t>58. Доступ в помещения для хранения сильнодействующих и ядовитых лекарственных средств допускается только ответственным за хранение, учет и отпуск сильнодействующих и ядовитых лекарственных средств лицам, непосредственно работающим с ними.</w:t>
      </w:r>
    </w:p>
    <w:p w:rsidR="007B6DF7" w:rsidRDefault="007B6DF7">
      <w:pPr>
        <w:pStyle w:val="ConsPlusNormal"/>
        <w:jc w:val="both"/>
      </w:pPr>
    </w:p>
    <w:p w:rsidR="007B6DF7" w:rsidRDefault="007B6DF7">
      <w:pPr>
        <w:pStyle w:val="ConsPlusNormal"/>
        <w:jc w:val="both"/>
      </w:pPr>
    </w:p>
    <w:p w:rsidR="007B6DF7" w:rsidRDefault="007B6D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7280" w:rsidRDefault="00F67280"/>
    <w:sectPr w:rsidR="00F67280" w:rsidSect="00026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24CCA"/>
    <w:multiLevelType w:val="multilevel"/>
    <w:tmpl w:val="833E7DC6"/>
    <w:lvl w:ilvl="0">
      <w:start w:val="1"/>
      <w:numFmt w:val="decimal"/>
      <w:pStyle w:val="4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26282F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  <w:b/>
        <w:color w:val="26282F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  <w:b/>
        <w:color w:val="26282F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  <w:b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  <w:b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  <w:b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b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  <w:b/>
        <w:color w:val="26282F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characterSpacingControl w:val="doNotCompress"/>
  <w:compat/>
  <w:rsids>
    <w:rsidRoot w:val="007B6DF7"/>
    <w:rsid w:val="007B6DF7"/>
    <w:rsid w:val="00B65D46"/>
    <w:rsid w:val="00E4728A"/>
    <w:rsid w:val="00F6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8A"/>
    <w:pPr>
      <w:ind w:firstLine="709"/>
      <w:jc w:val="both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728A"/>
    <w:pPr>
      <w:keepNext/>
      <w:keepLines/>
      <w:outlineLvl w:val="0"/>
    </w:pPr>
    <w:rPr>
      <w:b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E4728A"/>
    <w:pPr>
      <w:outlineLvl w:val="1"/>
    </w:pPr>
    <w:rPr>
      <w:rFonts w:eastAsia="Calibri"/>
      <w:b/>
      <w:color w:val="FF0000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E4728A"/>
    <w:pPr>
      <w:outlineLvl w:val="2"/>
    </w:pPr>
    <w:rPr>
      <w:b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4728A"/>
    <w:pPr>
      <w:keepNext/>
      <w:keepLines/>
      <w:numPr>
        <w:numId w:val="1"/>
      </w:numPr>
      <w:spacing w:before="40"/>
      <w:outlineLvl w:val="3"/>
    </w:pPr>
    <w:rPr>
      <w:b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4728A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E4728A"/>
    <w:rPr>
      <w:rFonts w:ascii="Times New Roman" w:eastAsia="Calibri" w:hAnsi="Times New Roman"/>
      <w:b/>
      <w:color w:val="FF0000"/>
      <w:sz w:val="28"/>
      <w:szCs w:val="32"/>
    </w:rPr>
  </w:style>
  <w:style w:type="character" w:customStyle="1" w:styleId="30">
    <w:name w:val="Заголовок 3 Знак"/>
    <w:link w:val="3"/>
    <w:uiPriority w:val="9"/>
    <w:qFormat/>
    <w:rsid w:val="00E4728A"/>
    <w:rPr>
      <w:rFonts w:ascii="Times New Roman" w:hAnsi="Times New Roman"/>
      <w:b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rsid w:val="00E4728A"/>
    <w:rPr>
      <w:rFonts w:ascii="Times New Roman" w:eastAsia="Times New Roman" w:hAnsi="Times New Roman" w:cs="Times New Roman"/>
      <w:b/>
      <w:iCs/>
      <w:sz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E4728A"/>
    <w:pPr>
      <w:spacing w:after="120"/>
      <w:jc w:val="center"/>
      <w:outlineLvl w:val="0"/>
    </w:pPr>
    <w:rPr>
      <w:b/>
      <w:bCs/>
      <w:caps/>
      <w:kern w:val="28"/>
      <w:szCs w:val="32"/>
    </w:rPr>
  </w:style>
  <w:style w:type="character" w:customStyle="1" w:styleId="a4">
    <w:name w:val="Название Знак"/>
    <w:link w:val="a3"/>
    <w:uiPriority w:val="10"/>
    <w:rsid w:val="00E4728A"/>
    <w:rPr>
      <w:rFonts w:ascii="Times New Roman" w:eastAsia="Times New Roman" w:hAnsi="Times New Roman" w:cs="Times New Roman"/>
      <w:b/>
      <w:bCs/>
      <w:caps/>
      <w:kern w:val="28"/>
      <w:sz w:val="28"/>
      <w:szCs w:val="32"/>
    </w:rPr>
  </w:style>
  <w:style w:type="character" w:styleId="a5">
    <w:name w:val="Emphasis"/>
    <w:uiPriority w:val="20"/>
    <w:qFormat/>
    <w:rsid w:val="00E4728A"/>
    <w:rPr>
      <w:i/>
      <w:iCs/>
    </w:rPr>
  </w:style>
  <w:style w:type="paragraph" w:styleId="a6">
    <w:name w:val="No Spacing"/>
    <w:uiPriority w:val="1"/>
    <w:qFormat/>
    <w:rsid w:val="00E4728A"/>
    <w:pPr>
      <w:jc w:val="both"/>
    </w:pPr>
    <w:rPr>
      <w:rFonts w:ascii="Times New Roman" w:hAnsi="Times New Roman"/>
      <w:sz w:val="28"/>
      <w:szCs w:val="22"/>
    </w:rPr>
  </w:style>
  <w:style w:type="paragraph" w:styleId="a7">
    <w:name w:val="List Paragraph"/>
    <w:basedOn w:val="a"/>
    <w:uiPriority w:val="34"/>
    <w:qFormat/>
    <w:rsid w:val="00E4728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paragraph" w:customStyle="1" w:styleId="Default">
    <w:name w:val="Default"/>
    <w:qFormat/>
    <w:rsid w:val="00E472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Заголовок 11"/>
    <w:basedOn w:val="a"/>
    <w:uiPriority w:val="9"/>
    <w:qFormat/>
    <w:rsid w:val="00E4728A"/>
    <w:pPr>
      <w:keepNext/>
      <w:keepLines/>
      <w:outlineLvl w:val="0"/>
    </w:pPr>
    <w:rPr>
      <w:b/>
      <w:color w:val="00000A"/>
      <w:szCs w:val="32"/>
    </w:rPr>
  </w:style>
  <w:style w:type="paragraph" w:customStyle="1" w:styleId="31">
    <w:name w:val="Заголовок 31"/>
    <w:basedOn w:val="a"/>
    <w:autoRedefine/>
    <w:uiPriority w:val="9"/>
    <w:unhideWhenUsed/>
    <w:qFormat/>
    <w:rsid w:val="00E4728A"/>
    <w:pPr>
      <w:outlineLvl w:val="2"/>
    </w:pPr>
    <w:rPr>
      <w:rFonts w:eastAsia="Calibri"/>
      <w:b/>
      <w:color w:val="00000A"/>
      <w:szCs w:val="28"/>
      <w:lang w:eastAsia="en-US"/>
    </w:rPr>
  </w:style>
  <w:style w:type="paragraph" w:customStyle="1" w:styleId="ConsPlusNormal">
    <w:name w:val="ConsPlusNormal"/>
    <w:rsid w:val="007B6DF7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customStyle="1" w:styleId="ConsPlusTitle">
    <w:name w:val="ConsPlusTitle"/>
    <w:rsid w:val="007B6DF7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ConsPlusTitlePage">
    <w:name w:val="ConsPlusTitlePage"/>
    <w:rsid w:val="007B6DF7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14F73ADF356768B49430D3FFFD78B8C1B2912D326D4DAE862D4AB68BD0F7DE28CDD8540E92A69E3A7D33CC87pBhEN" TargetMode="External"/><Relationship Id="rId13" Type="http://schemas.openxmlformats.org/officeDocument/2006/relationships/hyperlink" Target="consultantplus://offline/ref=FC14F73ADF356768B49430D3FFFD78B8C1BC9629376D4DAE862D4AB68BD0F7DE28CDD8540E92A69E3A7D33CC87pBhE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14F73ADF356768B49430D3FFFD78B8C1B3942F3F654DAE862D4AB68BD0F7DE3ACD80510599ECCF7A363CCF85A16A9704B5B2FBpAh7N" TargetMode="External"/><Relationship Id="rId12" Type="http://schemas.openxmlformats.org/officeDocument/2006/relationships/hyperlink" Target="consultantplus://offline/ref=FC14F73ADF356768B49430D3FFFD78B8C1BC9629376D4DAE862D4AB68BD0F7DE3ACD80580D93BD983E68659DC1EA67901AA9B2FDB8FE8DACp1h1N" TargetMode="External"/><Relationship Id="rId17" Type="http://schemas.openxmlformats.org/officeDocument/2006/relationships/hyperlink" Target="consultantplus://offline/ref=FC14F73ADF356768B49430D3FFFD78B8C1B5932435694DAE862D4AB68BD0F7DE3ACD80580D92BC9B3E68659DC1EA67901AA9B2FDB8FE8DACp1h1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C14F73ADF356768B49430D3FFFD78B8C1BC9629376D4DAE862D4AB68BD0F7DE28CDD8540E92A69E3A7D33CC87pBhE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14F73ADF356768B49430D3FFFD78B8C1B19224356A4DAE862D4AB68BD0F7DE3ACD80580D92BE9D3668659DC1EA67901AA9B2FDB8FE8DACp1h1N" TargetMode="External"/><Relationship Id="rId11" Type="http://schemas.openxmlformats.org/officeDocument/2006/relationships/hyperlink" Target="consultantplus://offline/ref=FC14F73ADF356768B49430D3FFFD78B8C1B2952433694DAE862D4AB68BD0F7DE3ACD80580D92B89F3F68659DC1EA67901AA9B2FDB8FE8DACp1h1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C14F73ADF356768B49430D3FFFD78B8C1BC9629376D4DAE862D4AB68BD0F7DE3ACD80580D93BD983E68659DC1EA67901AA9B2FDB8FE8DACp1h1N" TargetMode="External"/><Relationship Id="rId10" Type="http://schemas.openxmlformats.org/officeDocument/2006/relationships/hyperlink" Target="consultantplus://offline/ref=FC14F73ADF356768B49430D3FFFD78B8C1B2922436684DAE862D4AB68BD0F7DE3ACD805106C6E9DA6B6E32CC9BBF6E8D18B7B0pFh8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14F73ADF356768B49430D3FFFD78B8C1B19224356A4DAE862D4AB68BD0F7DE3ACD80580D92BE9A3F68659DC1EA67901AA9B2FDB8FE8DACp1h1N" TargetMode="External"/><Relationship Id="rId14" Type="http://schemas.openxmlformats.org/officeDocument/2006/relationships/hyperlink" Target="consultantplus://offline/ref=FC14F73ADF356768B49430D3FFFD78B8C1B2952433694DAE862D4AB68BD0F7DE3ACD80580D92B99F3D68659DC1EA67901AA9B2FDB8FE8DACp1h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3291</Words>
  <Characters>18765</Characters>
  <Application>Microsoft Office Word</Application>
  <DocSecurity>0</DocSecurity>
  <Lines>156</Lines>
  <Paragraphs>44</Paragraphs>
  <ScaleCrop>false</ScaleCrop>
  <Company/>
  <LinksUpToDate>false</LinksUpToDate>
  <CharactersWithSpaces>22012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2021-04-30T13:33:00Z</dcterms:created>
  <dcterms:modified xsi:type="dcterms:W3CDTF">2021-04-30T13:34:00Z</dcterms:modified>
</cp:coreProperties>
</file>